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01208" w14:textId="75F0A86D" w:rsidR="00353B50" w:rsidRPr="002F6EBE" w:rsidRDefault="00353B50" w:rsidP="00353B5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C7A508A" w14:textId="6B708A2F" w:rsidR="00353B50" w:rsidRPr="002F6EBE" w:rsidRDefault="00353B50" w:rsidP="00353B5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77214EC" w14:textId="1826E9C5" w:rsidR="00353B50" w:rsidRPr="002F6EBE" w:rsidRDefault="00353B50" w:rsidP="00353B5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F6EBE">
        <w:rPr>
          <w:rFonts w:asciiTheme="majorHAnsi" w:hAnsiTheme="majorHAnsi" w:cstheme="majorHAnsi"/>
          <w:b/>
          <w:bCs/>
          <w:sz w:val="24"/>
          <w:szCs w:val="24"/>
        </w:rPr>
        <w:t>Mesa 2. M</w:t>
      </w:r>
      <w:r w:rsidRPr="002F6EBE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etodología de investigación en Trabajo Social y Servicios Sociales</w:t>
      </w:r>
    </w:p>
    <w:p w14:paraId="7581D5E5" w14:textId="10F797DF" w:rsidR="00353B50" w:rsidRPr="002F6EBE" w:rsidRDefault="00353B50" w:rsidP="00353B5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8A0C39" w14:textId="5054499A" w:rsidR="00353B50" w:rsidRPr="002F6EBE" w:rsidRDefault="00353B50" w:rsidP="00353B5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F6EBE">
        <w:rPr>
          <w:rFonts w:asciiTheme="majorHAnsi" w:hAnsiTheme="majorHAnsi" w:cstheme="majorHAnsi"/>
          <w:b/>
          <w:bCs/>
          <w:sz w:val="24"/>
          <w:szCs w:val="24"/>
        </w:rPr>
        <w:t>Coordinador</w:t>
      </w:r>
      <w:r w:rsidRPr="002F6EBE">
        <w:rPr>
          <w:rFonts w:asciiTheme="majorHAnsi" w:hAnsiTheme="majorHAnsi" w:cstheme="majorHAnsi"/>
          <w:sz w:val="24"/>
          <w:szCs w:val="24"/>
        </w:rPr>
        <w:t xml:space="preserve">: Domingo Carbonero Muñoz. </w:t>
      </w:r>
      <w:r w:rsidR="00902E20" w:rsidRPr="002F6EBE">
        <w:rPr>
          <w:rFonts w:asciiTheme="majorHAnsi" w:hAnsiTheme="majorHAnsi" w:cstheme="majorHAnsi"/>
          <w:sz w:val="24"/>
          <w:szCs w:val="24"/>
        </w:rPr>
        <w:t>Universidad de la Rioja</w:t>
      </w:r>
      <w:r w:rsidR="0012357F">
        <w:rPr>
          <w:rFonts w:asciiTheme="majorHAnsi" w:hAnsiTheme="majorHAnsi" w:cstheme="majorHAnsi"/>
          <w:sz w:val="24"/>
          <w:szCs w:val="24"/>
        </w:rPr>
        <w:t xml:space="preserve"> (</w:t>
      </w:r>
      <w:r w:rsidR="0012357F" w:rsidRPr="0012357F">
        <w:rPr>
          <w:rFonts w:asciiTheme="majorHAnsi" w:hAnsiTheme="majorHAnsi" w:cstheme="majorHAnsi"/>
          <w:sz w:val="24"/>
          <w:szCs w:val="24"/>
        </w:rPr>
        <w:t>domingo.carbonero@unirioja.es</w:t>
      </w:r>
      <w:r w:rsidR="0012357F">
        <w:rPr>
          <w:rFonts w:asciiTheme="majorHAnsi" w:hAnsiTheme="majorHAnsi" w:cstheme="majorHAnsi"/>
          <w:sz w:val="24"/>
          <w:szCs w:val="24"/>
        </w:rPr>
        <w:t>)</w:t>
      </w:r>
      <w:bookmarkStart w:id="0" w:name="_GoBack"/>
      <w:bookmarkEnd w:id="0"/>
    </w:p>
    <w:p w14:paraId="749DAFB2" w14:textId="606A305B" w:rsidR="00353B50" w:rsidRPr="002F6EBE" w:rsidRDefault="00353B50" w:rsidP="00353B5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491935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2F6EBE">
        <w:rPr>
          <w:rFonts w:asciiTheme="majorHAnsi" w:hAnsiTheme="majorHAnsi" w:cstheme="majorHAnsi"/>
          <w:b/>
          <w:bCs/>
          <w:color w:val="000000"/>
        </w:rPr>
        <w:t>Fundamentación</w:t>
      </w:r>
    </w:p>
    <w:p w14:paraId="64CDF417" w14:textId="4C19F8D0" w:rsidR="00353B50" w:rsidRPr="002F6EBE" w:rsidRDefault="00353B50" w:rsidP="00353B5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6B10F7" w14:textId="24BEC2A6" w:rsidR="00353B50" w:rsidRPr="002F6EBE" w:rsidRDefault="008A340D" w:rsidP="00353B5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F6EBE">
        <w:rPr>
          <w:rFonts w:asciiTheme="majorHAnsi" w:hAnsiTheme="majorHAnsi" w:cstheme="majorHAnsi"/>
          <w:sz w:val="24"/>
          <w:szCs w:val="24"/>
        </w:rPr>
        <w:t xml:space="preserve">Los diseños hacen referencia a las vías o a la forma en que se articula una investigación. </w:t>
      </w:r>
      <w:r w:rsidR="001210BC" w:rsidRPr="002F6EBE">
        <w:rPr>
          <w:rFonts w:asciiTheme="majorHAnsi" w:hAnsiTheme="majorHAnsi" w:cstheme="majorHAnsi"/>
          <w:sz w:val="24"/>
          <w:szCs w:val="24"/>
        </w:rPr>
        <w:t xml:space="preserve">En primer lugar, en esta mesa se persigue abordar los pasos y decisiones tomadas en relación con los debates y presupuestos teóricos que sustentan el proceso de investigación. Algunos ejemplos, pueden vincular el respeto de las vías de investigación con las teorías críticas o las teorías de diagnósticos. En segundo lugar, se propone el abordaje de los resultados de una investigación, con los proyectos de intervención social que se derivan o el enfoque de una política social de carácter aplicado. En tercer lugar, se propician los debates de investigación con grupos de población de difícil acceso y el respeto de los distintos diseños a los principios éticos de la propia investigación. </w:t>
      </w:r>
    </w:p>
    <w:p w14:paraId="665F11B1" w14:textId="77777777" w:rsidR="00902E20" w:rsidRPr="002F6EBE" w:rsidRDefault="00902E20" w:rsidP="00353B5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C61B55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2F6EBE">
        <w:rPr>
          <w:rFonts w:asciiTheme="majorHAnsi" w:hAnsiTheme="majorHAnsi" w:cstheme="majorHAnsi"/>
          <w:b/>
          <w:bCs/>
          <w:color w:val="000000"/>
        </w:rPr>
        <w:t>Objetivos</w:t>
      </w:r>
    </w:p>
    <w:p w14:paraId="57B2F967" w14:textId="5E79A135" w:rsidR="00353B50" w:rsidRPr="002F6EBE" w:rsidRDefault="00902E20" w:rsidP="00902E2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F6EBE">
        <w:rPr>
          <w:rFonts w:asciiTheme="majorHAnsi" w:hAnsiTheme="majorHAnsi" w:cstheme="majorHAnsi"/>
          <w:sz w:val="24"/>
          <w:szCs w:val="24"/>
        </w:rPr>
        <w:t xml:space="preserve">Indagar en diseños de investigación aplicados a distintos enfoques teóricos en Trabajo Social y Servicios Sociales relativos al diagnóstico social, al enfoque crítico y otros enfoques en Trabajo Social. </w:t>
      </w:r>
    </w:p>
    <w:p w14:paraId="5552BB04" w14:textId="08BC4D3A" w:rsidR="00902E20" w:rsidRPr="002F6EBE" w:rsidRDefault="00902E20" w:rsidP="00902E2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F6EBE">
        <w:rPr>
          <w:rFonts w:asciiTheme="majorHAnsi" w:hAnsiTheme="majorHAnsi" w:cstheme="majorHAnsi"/>
          <w:sz w:val="24"/>
          <w:szCs w:val="24"/>
        </w:rPr>
        <w:t xml:space="preserve">Recoger las dificultades, limitaciones y oportunidades en investigación en diferentes temáticas de investigación hacia grupos vulnerables de población. </w:t>
      </w:r>
    </w:p>
    <w:p w14:paraId="55EB9200" w14:textId="7B9F084C" w:rsidR="00902E20" w:rsidRPr="002F6EBE" w:rsidRDefault="00902E20" w:rsidP="00902E2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F6EBE">
        <w:rPr>
          <w:rFonts w:asciiTheme="majorHAnsi" w:hAnsiTheme="majorHAnsi" w:cstheme="majorHAnsi"/>
          <w:sz w:val="24"/>
          <w:szCs w:val="24"/>
        </w:rPr>
        <w:t xml:space="preserve">Vincular los diseños de investigación en Trabajo Social y Servicios Sociales con los dilemas y criterios éticos. </w:t>
      </w:r>
    </w:p>
    <w:p w14:paraId="1B340F6F" w14:textId="4F197F53" w:rsidR="00902E20" w:rsidRPr="002F6EBE" w:rsidRDefault="00902E20" w:rsidP="00902E2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F6EBE">
        <w:rPr>
          <w:rFonts w:asciiTheme="majorHAnsi" w:hAnsiTheme="majorHAnsi" w:cstheme="majorHAnsi"/>
          <w:sz w:val="24"/>
          <w:szCs w:val="24"/>
        </w:rPr>
        <w:t xml:space="preserve">Vincular los diseños de investigación en Trabajo Social y Servicios Sociales con propuestas y diseños de intervención en Trabajo Social.  </w:t>
      </w:r>
    </w:p>
    <w:p w14:paraId="4F6D1086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</w:p>
    <w:p w14:paraId="2E915B50" w14:textId="73BCDA34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b/>
          <w:bCs/>
          <w:color w:val="000000"/>
        </w:rPr>
        <w:t xml:space="preserve">Descriptores: </w:t>
      </w:r>
      <w:r w:rsidR="00902E20" w:rsidRPr="002F6EBE">
        <w:rPr>
          <w:rFonts w:asciiTheme="majorHAnsi" w:hAnsiTheme="majorHAnsi" w:cstheme="majorHAnsi"/>
          <w:color w:val="000000"/>
        </w:rPr>
        <w:t>Diseños de investigación, diseños de investigación docente, enfoques de Trabajo Social, dilemas y criterios éticos</w:t>
      </w:r>
      <w:r w:rsidR="00DE049B" w:rsidRPr="002F6EBE">
        <w:rPr>
          <w:rFonts w:asciiTheme="majorHAnsi" w:hAnsiTheme="majorHAnsi" w:cstheme="majorHAnsi"/>
          <w:color w:val="000000"/>
        </w:rPr>
        <w:t xml:space="preserve">, diseños de intervención social.  </w:t>
      </w:r>
    </w:p>
    <w:p w14:paraId="65A23F1C" w14:textId="4D0B5016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</w:p>
    <w:p w14:paraId="460C38D4" w14:textId="5DECF8E0" w:rsidR="001210BC" w:rsidRPr="002F6EBE" w:rsidRDefault="001210BC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</w:p>
    <w:p w14:paraId="67149DBD" w14:textId="1CF438E0" w:rsidR="001210BC" w:rsidRPr="002F6EBE" w:rsidRDefault="001210BC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</w:p>
    <w:p w14:paraId="60369B5A" w14:textId="77777777" w:rsidR="001210BC" w:rsidRPr="002F6EBE" w:rsidRDefault="001210BC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</w:p>
    <w:p w14:paraId="0FE14143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</w:p>
    <w:p w14:paraId="180AC1F1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</w:p>
    <w:p w14:paraId="41FD4D17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853F49C" w14:textId="2D8347D2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2F6EBE">
        <w:rPr>
          <w:rFonts w:asciiTheme="majorHAnsi" w:hAnsiTheme="majorHAnsi" w:cstheme="majorHAnsi"/>
          <w:b/>
          <w:bCs/>
          <w:color w:val="000000"/>
        </w:rPr>
        <w:t>Mesa 3: Sujetos de estudio y temas de investigación en Trabajo Social Coordinadora</w:t>
      </w:r>
    </w:p>
    <w:p w14:paraId="77DBE973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Ana Belén Cuesta Ruiz-Clavijo, Universidad de La Rioja</w:t>
      </w:r>
    </w:p>
    <w:p w14:paraId="2EB1CBDD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4A97C661" w14:textId="59B5CE22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2F6EBE">
        <w:rPr>
          <w:rFonts w:asciiTheme="majorHAnsi" w:hAnsiTheme="majorHAnsi" w:cstheme="majorHAnsi"/>
          <w:b/>
          <w:bCs/>
          <w:color w:val="000000"/>
        </w:rPr>
        <w:t>Fundamentación</w:t>
      </w:r>
    </w:p>
    <w:p w14:paraId="3BA25CC4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Para realizar intervenciones eficaces resulta fundamental conocer los sujetos del Trabajo Social: personas en situación de exclusión social, en situación de dependencia, mujeres víctima de violencia de género, menores en situación de desamparo, personas en situación de dependencia y un largo etcétera. En definitiva, las intervenciones profesionales caminan entre la dicotomía de la necesidad de especialización que requieren las intervenciones con diferentes colectivos y la generalidad y atención básica derivada del principio de universalidad que consolida a todo/a ciudadano/a como agente social participante.</w:t>
      </w:r>
    </w:p>
    <w:p w14:paraId="5ECDA9C3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 xml:space="preserve">Por otra parte, conviene afinar y definir </w:t>
      </w:r>
      <w:proofErr w:type="spellStart"/>
      <w:r w:rsidRPr="002F6EBE">
        <w:rPr>
          <w:rFonts w:asciiTheme="majorHAnsi" w:hAnsiTheme="majorHAnsi" w:cstheme="majorHAnsi"/>
          <w:color w:val="000000"/>
        </w:rPr>
        <w:t>cual</w:t>
      </w:r>
      <w:proofErr w:type="spellEnd"/>
      <w:r w:rsidRPr="002F6EBE">
        <w:rPr>
          <w:rFonts w:asciiTheme="majorHAnsi" w:hAnsiTheme="majorHAnsi" w:cstheme="majorHAnsi"/>
          <w:color w:val="000000"/>
        </w:rPr>
        <w:t xml:space="preserve"> es la presencia del Trabajo Social en los diferentes espacios profesionales, caminando también entre el alto grado de consolidación de esta figura profesional en el sistema de servicios sociales y salud y el menor desarrollo en otros sistemas como puede ser vivienda, empleo entre otros.</w:t>
      </w:r>
    </w:p>
    <w:p w14:paraId="12F68086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2F6EBE">
        <w:rPr>
          <w:rFonts w:asciiTheme="majorHAnsi" w:hAnsiTheme="majorHAnsi" w:cstheme="majorHAnsi"/>
          <w:color w:val="000000"/>
        </w:rPr>
        <w:t>Finalmente</w:t>
      </w:r>
      <w:proofErr w:type="gramEnd"/>
      <w:r w:rsidRPr="002F6EBE">
        <w:rPr>
          <w:rFonts w:asciiTheme="majorHAnsi" w:hAnsiTheme="majorHAnsi" w:cstheme="majorHAnsi"/>
          <w:color w:val="000000"/>
        </w:rPr>
        <w:t xml:space="preserve"> con esta mesa se genera un espacio de reflexión y conocimiento sobre las cuestiones anteriores y también, acerca de las funciones profesionales en relación a los sujetos de intervención destacando aquellas relacionadas con la relación de ayuda y el acompañamiento social que con frecuencia pueden verse menguadas por diferentes razones.</w:t>
      </w:r>
    </w:p>
    <w:p w14:paraId="15AD50A0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2F6EBE">
        <w:rPr>
          <w:rFonts w:asciiTheme="majorHAnsi" w:hAnsiTheme="majorHAnsi" w:cstheme="majorHAnsi"/>
          <w:b/>
          <w:bCs/>
          <w:color w:val="000000"/>
        </w:rPr>
        <w:t>Objetivos</w:t>
      </w:r>
    </w:p>
    <w:p w14:paraId="34FAC997" w14:textId="120AC6A5" w:rsidR="00353B50" w:rsidRPr="002F6EBE" w:rsidRDefault="00353B50" w:rsidP="00353B5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1- Conocer las investigaciones que se están desarrollando en relación a los sujetos y temáticas de Trabajo Social</w:t>
      </w:r>
    </w:p>
    <w:p w14:paraId="141479EE" w14:textId="50DDCD01" w:rsidR="00353B50" w:rsidRPr="002F6EBE" w:rsidRDefault="00353B50" w:rsidP="00353B5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lastRenderedPageBreak/>
        <w:t>2- Reflexionar sobre los sujetos de estudio en Trabajo social y las temáticas de investigación existentes</w:t>
      </w:r>
    </w:p>
    <w:p w14:paraId="70964B4B" w14:textId="04E0D036" w:rsidR="00353B50" w:rsidRPr="002F6EBE" w:rsidRDefault="00353B50" w:rsidP="00353B5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3- Analizar el equilibrio entre la especialización y la generalidad.</w:t>
      </w:r>
    </w:p>
    <w:p w14:paraId="50D3600D" w14:textId="0F75712B" w:rsidR="00353B50" w:rsidRPr="002F6EBE" w:rsidRDefault="00353B50" w:rsidP="00353B5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4- Estudiar la presencia de profesionales de TS en los diferentes ámbitos</w:t>
      </w:r>
    </w:p>
    <w:p w14:paraId="5818AA76" w14:textId="27530AB9" w:rsidR="00353B50" w:rsidRPr="002F6EBE" w:rsidRDefault="00353B50" w:rsidP="00353B5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5- Mostrar la diversidad de temáticas y sujetos de la intervención al mismo tiempo que la transversalidad del quehacer del Trabajo Social</w:t>
      </w:r>
    </w:p>
    <w:p w14:paraId="4550659B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2F6EBE">
        <w:rPr>
          <w:rFonts w:asciiTheme="majorHAnsi" w:hAnsiTheme="majorHAnsi" w:cstheme="majorHAnsi"/>
          <w:b/>
          <w:bCs/>
          <w:color w:val="000000"/>
        </w:rPr>
        <w:t>Descriptores</w:t>
      </w:r>
    </w:p>
    <w:p w14:paraId="3856C500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Trabajo Social; Sujeto de estudio; temática de investigación, dificultades sociales</w:t>
      </w:r>
    </w:p>
    <w:p w14:paraId="5B4702B2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</w:p>
    <w:p w14:paraId="0D7C29FB" w14:textId="7482DC36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2F6EBE">
        <w:rPr>
          <w:rFonts w:asciiTheme="majorHAnsi" w:hAnsiTheme="majorHAnsi" w:cstheme="majorHAnsi"/>
          <w:b/>
          <w:bCs/>
          <w:color w:val="000000"/>
        </w:rPr>
        <w:t>Mesa 4: De la investigación al APS</w:t>
      </w:r>
    </w:p>
    <w:p w14:paraId="6F6346F7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Coordinadores</w:t>
      </w:r>
    </w:p>
    <w:p w14:paraId="4EA66831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Neus Caparrós Civera (caparros@unirioja.es)</w:t>
      </w:r>
    </w:p>
    <w:p w14:paraId="60F80062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2F6EBE">
        <w:rPr>
          <w:rFonts w:asciiTheme="majorHAnsi" w:hAnsiTheme="majorHAnsi" w:cstheme="majorHAnsi"/>
          <w:b/>
          <w:bCs/>
          <w:color w:val="000000"/>
        </w:rPr>
        <w:t>Fundamentación</w:t>
      </w:r>
    </w:p>
    <w:p w14:paraId="25338E9D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En un mundo cambiante en la que las transformaciones se suceden a gran velocidad, disciplinas y profesiones como el Trabajo Social deben ir a la par con los cambios que acontecen. Por ello la práctica profesional del TS debe ir acompañada de nuevas maneras en las que se aborden las problemáticas, se atienda a las personas que acuden a los servicios y se conecten con diferentes maneras de intervenir, siendo una parte importante el trabajo en red, en el que se relacionan diferentes agentes para dar respuesta a situaciones comprometidas que impliquen no solo a una entidad o servicio, sino a varios de ellos que, de manera conjunta, aborden y acometan la realidad que se quiera transformar.</w:t>
      </w:r>
    </w:p>
    <w:p w14:paraId="45F2DCCD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Una manera de hacer y potenciar esta transformación será a través de metodologías como el Aprendizaje Servicio, una filosofía que implica a varios actores o agentes en una causa común. Una filosofía que es metodología y que conecta directamente con las bases de la disciplina del Trabajo Social y de los procesos formativos de los futuros profesionales de la intervención social.</w:t>
      </w:r>
    </w:p>
    <w:p w14:paraId="110D6E0E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Esta Mesa pretender recoger las iniciativas que bajo la metodología del Aprendizaje Servicio se estén desarrollando en los diferentes ámbitos o sectores en los que se mueve el Trabajo Social.</w:t>
      </w:r>
    </w:p>
    <w:p w14:paraId="6BF66265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4B43D0CC" w14:textId="4E3F42E6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2F6EBE">
        <w:rPr>
          <w:rFonts w:asciiTheme="majorHAnsi" w:hAnsiTheme="majorHAnsi" w:cstheme="majorHAnsi"/>
          <w:b/>
          <w:bCs/>
          <w:color w:val="000000"/>
        </w:rPr>
        <w:t>Objetivos</w:t>
      </w:r>
    </w:p>
    <w:p w14:paraId="03AE076B" w14:textId="31A9AAB2" w:rsidR="00353B50" w:rsidRPr="002F6EBE" w:rsidRDefault="00353B50" w:rsidP="00353B5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lastRenderedPageBreak/>
        <w:t>1- Conocer experiencias desarrolladas con metodología de APS</w:t>
      </w:r>
    </w:p>
    <w:p w14:paraId="465F372A" w14:textId="1C1EBBE6" w:rsidR="00353B50" w:rsidRPr="002F6EBE" w:rsidRDefault="00353B50" w:rsidP="00353B5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2- Identificar buenas prácticas interdisciplinares y de trabajo en red a través del APS</w:t>
      </w:r>
    </w:p>
    <w:p w14:paraId="4DD40EF0" w14:textId="33E1FFDE" w:rsidR="00353B50" w:rsidRPr="002F6EBE" w:rsidRDefault="00353B50" w:rsidP="00353B5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3- Dar a conocer las competencias necesarias para la puesta en escena del APS</w:t>
      </w:r>
    </w:p>
    <w:p w14:paraId="0A4D5722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</w:p>
    <w:p w14:paraId="5B4DEE5E" w14:textId="02B8E59D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2F6EBE">
        <w:rPr>
          <w:rFonts w:asciiTheme="majorHAnsi" w:hAnsiTheme="majorHAnsi" w:cstheme="majorHAnsi"/>
          <w:b/>
          <w:bCs/>
          <w:color w:val="000000"/>
        </w:rPr>
        <w:t>Descriptores</w:t>
      </w:r>
    </w:p>
    <w:p w14:paraId="57BE7C8A" w14:textId="77777777" w:rsidR="00353B50" w:rsidRPr="002F6EBE" w:rsidRDefault="00353B50" w:rsidP="00353B5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2F6EBE">
        <w:rPr>
          <w:rFonts w:asciiTheme="majorHAnsi" w:hAnsiTheme="majorHAnsi" w:cstheme="majorHAnsi"/>
          <w:color w:val="000000"/>
        </w:rPr>
        <w:t>Trabajo Social; Aprendizaje Servicio, trabajo en red, competencias.</w:t>
      </w:r>
    </w:p>
    <w:p w14:paraId="3D7A04B1" w14:textId="0D12C3E2" w:rsidR="00353B50" w:rsidRPr="002F6EBE" w:rsidRDefault="00353B50">
      <w:pPr>
        <w:rPr>
          <w:rFonts w:asciiTheme="majorHAnsi" w:hAnsiTheme="majorHAnsi" w:cstheme="majorHAnsi"/>
          <w:sz w:val="24"/>
          <w:szCs w:val="24"/>
        </w:rPr>
      </w:pPr>
    </w:p>
    <w:p w14:paraId="23F176D1" w14:textId="77777777" w:rsidR="00353B50" w:rsidRPr="002F6EBE" w:rsidRDefault="00353B50">
      <w:pPr>
        <w:rPr>
          <w:rFonts w:asciiTheme="majorHAnsi" w:hAnsiTheme="majorHAnsi" w:cstheme="majorHAnsi"/>
          <w:sz w:val="24"/>
          <w:szCs w:val="24"/>
        </w:rPr>
      </w:pPr>
    </w:p>
    <w:sectPr w:rsidR="00353B50" w:rsidRPr="002F6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1BC2"/>
    <w:multiLevelType w:val="hybridMultilevel"/>
    <w:tmpl w:val="0D0CFFCA"/>
    <w:lvl w:ilvl="0" w:tplc="7EC6D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33D3"/>
    <w:multiLevelType w:val="hybridMultilevel"/>
    <w:tmpl w:val="5D0878C2"/>
    <w:lvl w:ilvl="0" w:tplc="B7861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1C10"/>
    <w:multiLevelType w:val="hybridMultilevel"/>
    <w:tmpl w:val="7AFE04B0"/>
    <w:lvl w:ilvl="0" w:tplc="D08E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D624D"/>
    <w:multiLevelType w:val="hybridMultilevel"/>
    <w:tmpl w:val="A210A9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50"/>
    <w:rsid w:val="001210BC"/>
    <w:rsid w:val="0012357F"/>
    <w:rsid w:val="002F6EBE"/>
    <w:rsid w:val="00353B50"/>
    <w:rsid w:val="00417CFA"/>
    <w:rsid w:val="00432EE8"/>
    <w:rsid w:val="008A340D"/>
    <w:rsid w:val="00902E20"/>
    <w:rsid w:val="00D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98E6"/>
  <w15:chartTrackingRefBased/>
  <w15:docId w15:val="{B3DAA78B-B3E5-4BAA-BDB5-6DBA40D0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0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Carbonero Muñoz</dc:creator>
  <cp:keywords/>
  <dc:description/>
  <cp:lastModifiedBy>Cecilia Serrano Martínez</cp:lastModifiedBy>
  <cp:revision>4</cp:revision>
  <dcterms:created xsi:type="dcterms:W3CDTF">2021-09-15T14:30:00Z</dcterms:created>
  <dcterms:modified xsi:type="dcterms:W3CDTF">2021-09-17T10:27:00Z</dcterms:modified>
</cp:coreProperties>
</file>