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A9D00" w14:textId="02CC5BBF" w:rsidR="004D7BCD" w:rsidRDefault="004D7BCD" w:rsidP="00D71231">
      <w:pPr>
        <w:pStyle w:val="Default"/>
        <w:jc w:val="both"/>
        <w:rPr>
          <w:rFonts w:ascii="Calibri" w:eastAsia="Times New Roman" w:hAnsi="Calibri" w:cs="Calibri"/>
          <w:b/>
          <w:bCs/>
          <w:lang w:eastAsia="es-ES"/>
        </w:rPr>
      </w:pPr>
      <w:r>
        <w:rPr>
          <w:rFonts w:ascii="Calibri" w:eastAsia="Times New Roman" w:hAnsi="Calibri" w:cs="Calibri"/>
          <w:b/>
          <w:bCs/>
          <w:lang w:eastAsia="es-ES"/>
        </w:rPr>
        <w:t>I Foro Empresas y Derechos Humanos – Universidad de La Rioja</w:t>
      </w:r>
    </w:p>
    <w:p w14:paraId="74E86B13" w14:textId="63044177" w:rsidR="004D7BCD" w:rsidRDefault="004D7BCD" w:rsidP="00D71231">
      <w:pPr>
        <w:pStyle w:val="Default"/>
        <w:jc w:val="both"/>
        <w:rPr>
          <w:rFonts w:ascii="Calibri" w:eastAsia="Times New Roman" w:hAnsi="Calibri" w:cs="Calibri"/>
          <w:b/>
          <w:bCs/>
          <w:lang w:eastAsia="es-ES"/>
        </w:rPr>
      </w:pPr>
    </w:p>
    <w:p w14:paraId="35505DFA" w14:textId="6A0D3E18" w:rsidR="002D4316" w:rsidRDefault="002D4316" w:rsidP="00D71231">
      <w:pPr>
        <w:pStyle w:val="Default"/>
        <w:jc w:val="both"/>
        <w:rPr>
          <w:rFonts w:ascii="Calibri" w:eastAsia="Times New Roman" w:hAnsi="Calibri" w:cs="Calibri"/>
          <w:b/>
          <w:bCs/>
          <w:lang w:eastAsia="es-ES"/>
        </w:rPr>
      </w:pPr>
      <w:r>
        <w:rPr>
          <w:rFonts w:ascii="Calibri" w:eastAsia="Times New Roman" w:hAnsi="Calibri" w:cs="Calibri"/>
          <w:b/>
          <w:bCs/>
          <w:lang w:eastAsia="es-ES"/>
        </w:rPr>
        <w:t>Mesas paralelas</w:t>
      </w:r>
    </w:p>
    <w:p w14:paraId="014183F4" w14:textId="58FFB835" w:rsidR="004D7BCD" w:rsidRDefault="004D7BCD" w:rsidP="00D71231">
      <w:pPr>
        <w:pStyle w:val="Default"/>
        <w:jc w:val="both"/>
        <w:rPr>
          <w:rFonts w:ascii="Calibri" w:eastAsia="Times New Roman" w:hAnsi="Calibri" w:cs="Calibri"/>
          <w:b/>
          <w:bCs/>
          <w:lang w:eastAsia="es-ES"/>
        </w:rPr>
      </w:pPr>
      <w:r>
        <w:rPr>
          <w:rFonts w:ascii="Calibri" w:eastAsia="Times New Roman" w:hAnsi="Calibri" w:cs="Calibri"/>
          <w:b/>
          <w:bCs/>
          <w:lang w:eastAsia="es-ES"/>
        </w:rPr>
        <w:t>Jueves 28 de octubre – 18,00h</w:t>
      </w:r>
      <w:r w:rsidR="00366A39">
        <w:rPr>
          <w:rFonts w:ascii="Calibri" w:eastAsia="Times New Roman" w:hAnsi="Calibri" w:cs="Calibri"/>
          <w:b/>
          <w:bCs/>
          <w:lang w:eastAsia="es-ES"/>
        </w:rPr>
        <w:t xml:space="preserve"> a </w:t>
      </w:r>
      <w:r w:rsidR="002D4316">
        <w:rPr>
          <w:rFonts w:ascii="Calibri" w:eastAsia="Times New Roman" w:hAnsi="Calibri" w:cs="Calibri"/>
          <w:b/>
          <w:bCs/>
          <w:lang w:eastAsia="es-ES"/>
        </w:rPr>
        <w:t>19,30</w:t>
      </w:r>
      <w:r w:rsidR="00366A39">
        <w:rPr>
          <w:rFonts w:ascii="Calibri" w:eastAsia="Times New Roman" w:hAnsi="Calibri" w:cs="Calibri"/>
          <w:b/>
          <w:bCs/>
          <w:lang w:eastAsia="es-ES"/>
        </w:rPr>
        <w:t xml:space="preserve"> horas</w:t>
      </w:r>
    </w:p>
    <w:p w14:paraId="5AB65989" w14:textId="18C74988" w:rsidR="004D7BCD" w:rsidRDefault="004D7BCD" w:rsidP="00D71231">
      <w:pPr>
        <w:pStyle w:val="Default"/>
        <w:jc w:val="both"/>
        <w:rPr>
          <w:rFonts w:ascii="Calibri" w:eastAsia="Times New Roman" w:hAnsi="Calibri" w:cs="Calibri"/>
          <w:b/>
          <w:bCs/>
          <w:lang w:eastAsia="es-ES"/>
        </w:rPr>
      </w:pPr>
    </w:p>
    <w:p w14:paraId="5D9230C3" w14:textId="77777777" w:rsidR="005A0744" w:rsidRDefault="005A0744" w:rsidP="005A0744">
      <w:pPr>
        <w:pStyle w:val="Default"/>
        <w:jc w:val="both"/>
        <w:rPr>
          <w:rFonts w:ascii="Calibri" w:hAnsi="Calibri" w:cs="Calibri"/>
          <w:b/>
          <w:iCs/>
          <w:color w:val="FF0000"/>
        </w:rPr>
      </w:pPr>
      <w:r w:rsidRPr="004D7BCD">
        <w:rPr>
          <w:rFonts w:ascii="Calibri" w:eastAsia="Times New Roman" w:hAnsi="Calibri" w:cs="Calibri"/>
          <w:b/>
          <w:bCs/>
          <w:i/>
          <w:iCs/>
          <w:lang w:eastAsia="es-ES"/>
        </w:rPr>
        <w:t xml:space="preserve">Mesa 3: </w:t>
      </w:r>
      <w:r w:rsidRPr="001E03D0">
        <w:rPr>
          <w:rFonts w:ascii="Calibri" w:hAnsi="Calibri" w:cs="Calibri"/>
          <w:b/>
          <w:iCs/>
          <w:color w:val="FF0000"/>
        </w:rPr>
        <w:t xml:space="preserve">El impacto de las nuevas economías en la Agenda 2030 </w:t>
      </w:r>
    </w:p>
    <w:p w14:paraId="4C659ACE" w14:textId="77777777" w:rsidR="005A0744" w:rsidRPr="004D7BCD" w:rsidRDefault="005A0744" w:rsidP="005A0744">
      <w:pPr>
        <w:pStyle w:val="Default"/>
        <w:jc w:val="both"/>
        <w:rPr>
          <w:rFonts w:ascii="Calibri" w:hAnsi="Calibri" w:cs="Calibri"/>
          <w:i/>
          <w:iCs/>
        </w:rPr>
      </w:pPr>
      <w:r w:rsidRPr="001E03D0">
        <w:rPr>
          <w:rFonts w:ascii="Calibri" w:hAnsi="Calibri" w:cs="Calibri"/>
          <w:b/>
          <w:iCs/>
          <w:color w:val="FF0000"/>
        </w:rPr>
        <w:t>y los Derechos Humanos</w:t>
      </w:r>
    </w:p>
    <w:p w14:paraId="70F0B53D" w14:textId="77777777" w:rsidR="005A0744" w:rsidRDefault="005A0744" w:rsidP="005A074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</w:p>
    <w:p w14:paraId="5D65CE48" w14:textId="77777777" w:rsidR="005A0744" w:rsidRDefault="005A0744" w:rsidP="005A074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Coordinan: Leonor González Menorca y Sonia Pereyra Gallo</w:t>
      </w:r>
    </w:p>
    <w:p w14:paraId="25A79A5E" w14:textId="77777777" w:rsidR="005A0744" w:rsidRDefault="005A0744" w:rsidP="005A074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Profesoras del Departamento de Economía y Empresa</w:t>
      </w:r>
    </w:p>
    <w:p w14:paraId="29D9C571" w14:textId="77777777" w:rsidR="005A0744" w:rsidRPr="00C259B6" w:rsidRDefault="005A0744" w:rsidP="005A074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Universidad de La Rioja</w:t>
      </w:r>
    </w:p>
    <w:p w14:paraId="227849DB" w14:textId="77777777" w:rsidR="005A0744" w:rsidRPr="00C259B6" w:rsidRDefault="005A0744" w:rsidP="005A074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7BB62D2C" w14:textId="77777777" w:rsidR="005A0744" w:rsidRPr="00867051" w:rsidRDefault="005A0744" w:rsidP="005A0744">
      <w:pPr>
        <w:pStyle w:val="Default"/>
        <w:jc w:val="both"/>
        <w:rPr>
          <w:rFonts w:ascii="Calibri" w:hAnsi="Calibri" w:cs="Calibri"/>
        </w:rPr>
      </w:pPr>
    </w:p>
    <w:p w14:paraId="16EFF04A" w14:textId="77777777" w:rsidR="005A0744" w:rsidRPr="00867051" w:rsidRDefault="005A0744" w:rsidP="005A0744">
      <w:pPr>
        <w:jc w:val="both"/>
        <w:rPr>
          <w:rFonts w:cs="Calibri"/>
          <w:sz w:val="24"/>
          <w:szCs w:val="24"/>
        </w:rPr>
      </w:pPr>
      <w:r w:rsidRPr="00867051">
        <w:rPr>
          <w:rFonts w:cs="Calibri"/>
          <w:i/>
          <w:iCs/>
          <w:sz w:val="24"/>
          <w:szCs w:val="24"/>
        </w:rPr>
        <w:t>“Los crecientes retos económicos, sociales y medioambientales que se plantean en Europa ponen en entredicho el modelo económico basado en el patrón «extraer, producir, poseer y desechar».</w:t>
      </w:r>
      <w:r w:rsidRPr="00867051">
        <w:rPr>
          <w:rFonts w:cs="Calibri"/>
          <w:sz w:val="24"/>
          <w:szCs w:val="24"/>
        </w:rPr>
        <w:t>” (Extracto del Dictamen del Comité Económico y Social Europeo sobre los «Nuevos modelos económicos sostenibles”, (2018/C 081/08)</w:t>
      </w:r>
    </w:p>
    <w:p w14:paraId="0DE211BD" w14:textId="77777777" w:rsidR="005A0744" w:rsidRPr="00867051" w:rsidRDefault="005A0744" w:rsidP="005A0744">
      <w:pPr>
        <w:jc w:val="both"/>
        <w:rPr>
          <w:rFonts w:cs="Calibri"/>
          <w:sz w:val="24"/>
          <w:szCs w:val="24"/>
        </w:rPr>
      </w:pPr>
      <w:r w:rsidRPr="00867051">
        <w:rPr>
          <w:rFonts w:cs="Calibri"/>
          <w:sz w:val="24"/>
          <w:szCs w:val="24"/>
        </w:rPr>
        <w:t>Desde diversas corrientes académicas y sociales se viene alumbrando, descubriendo y sistematizando experiencias económicas nuevas y/o alternativas. Dichas corrientes presentan rasgos diversos entre sí, comparten la centralidad de las personas y el planeta en sus actuaciones; en contraposición al sistema actual, cuyo modelo de éxito se apoya en el consumo ilimitado de recursos limitados, anteponiendo lo económico como motor de crecimiento.</w:t>
      </w:r>
    </w:p>
    <w:p w14:paraId="34CF44BF" w14:textId="77777777" w:rsidR="005A0744" w:rsidRPr="00867051" w:rsidRDefault="005A0744" w:rsidP="005A0744">
      <w:pPr>
        <w:jc w:val="both"/>
        <w:rPr>
          <w:rFonts w:cs="Calibri"/>
          <w:sz w:val="24"/>
          <w:szCs w:val="24"/>
        </w:rPr>
      </w:pPr>
      <w:r w:rsidRPr="00867051">
        <w:rPr>
          <w:rFonts w:cs="Calibri"/>
          <w:sz w:val="24"/>
          <w:szCs w:val="24"/>
        </w:rPr>
        <w:t>Algunos autores afirman que nos encontramos en la transición de un paradigma a otro y que, en este espacio, se van desarrollando nuevas opciones que no terminan de cuajar mientras aún</w:t>
      </w:r>
      <w:r>
        <w:rPr>
          <w:rFonts w:cs="Calibri"/>
          <w:sz w:val="24"/>
          <w:szCs w:val="24"/>
        </w:rPr>
        <w:t xml:space="preserve"> persisten modelos clásicos.</w:t>
      </w:r>
    </w:p>
    <w:p w14:paraId="0E8D1900" w14:textId="77777777" w:rsidR="005A0744" w:rsidRPr="00867051" w:rsidRDefault="005A0744" w:rsidP="005A0744">
      <w:pPr>
        <w:jc w:val="both"/>
        <w:rPr>
          <w:rFonts w:cs="Calibri"/>
          <w:sz w:val="24"/>
          <w:szCs w:val="24"/>
        </w:rPr>
      </w:pPr>
      <w:r w:rsidRPr="00867051">
        <w:rPr>
          <w:rFonts w:cs="Calibri"/>
          <w:sz w:val="24"/>
          <w:szCs w:val="24"/>
        </w:rPr>
        <w:t>En esta mesa, queremos poner el foco en esas experiencias novedosas y alternativas que, a lo largo y ancho del planeta, están probando nuevas relaciones económicas, sociales y políticas. Nos referimos a la Economía Social y Solidaria, la Economía Circular, del Bien Común, Economía Azul, Economía Funcional, Economía compartida, Banca ética, finanzas responsables, entre otras.</w:t>
      </w:r>
    </w:p>
    <w:p w14:paraId="5604BEA9" w14:textId="77777777" w:rsidR="005A0744" w:rsidRDefault="005A0744" w:rsidP="005A0744">
      <w:pPr>
        <w:jc w:val="both"/>
        <w:rPr>
          <w:rFonts w:cs="Calibri"/>
          <w:sz w:val="24"/>
          <w:szCs w:val="24"/>
        </w:rPr>
      </w:pPr>
      <w:r w:rsidRPr="00867051">
        <w:rPr>
          <w:rFonts w:cs="Calibri"/>
          <w:sz w:val="24"/>
          <w:szCs w:val="24"/>
        </w:rPr>
        <w:t xml:space="preserve">Estos nuevos modelos tienen vinculación con la Agenda 2030 de Desarrollo Sostenible y podrían contribuir de manera clara y directa con sus 17 Objetivos y Metas, así como con los Derechos Humanos. En esta mesa, queremos dar a conocer aquellas experiencias, sustentadas en estas nuevas economías, basadas en valores de </w:t>
      </w:r>
      <w:r w:rsidRPr="00867051">
        <w:rPr>
          <w:rStyle w:val="markedcontent"/>
          <w:rFonts w:cs="Calibri"/>
          <w:sz w:val="24"/>
          <w:szCs w:val="24"/>
        </w:rPr>
        <w:t xml:space="preserve">participación, solidaridad, equidad de oportunidades, compromiso con el entorno, inclusión, </w:t>
      </w:r>
      <w:r w:rsidRPr="00867051">
        <w:rPr>
          <w:rFonts w:cs="Calibri"/>
          <w:sz w:val="24"/>
          <w:szCs w:val="24"/>
        </w:rPr>
        <w:t>que destaquen por estar consiguiendo impactos reales a nivel de la justicia social, la mejora de la gobernanza y la participación social y económica</w:t>
      </w:r>
      <w:r>
        <w:rPr>
          <w:rFonts w:cs="Calibri"/>
          <w:sz w:val="24"/>
          <w:szCs w:val="24"/>
        </w:rPr>
        <w:t>, así como</w:t>
      </w:r>
      <w:r w:rsidRPr="00867051">
        <w:rPr>
          <w:rFonts w:cs="Calibri"/>
          <w:sz w:val="24"/>
          <w:szCs w:val="24"/>
        </w:rPr>
        <w:t xml:space="preserve"> el cuidado y la promoción del medio ambiente.</w:t>
      </w:r>
    </w:p>
    <w:p w14:paraId="0F1332F0" w14:textId="77777777" w:rsidR="005A0744" w:rsidRDefault="005A0744" w:rsidP="005A074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3"/>
          <w:szCs w:val="23"/>
          <w:shd w:val="clear" w:color="auto" w:fill="FFFFFF"/>
        </w:rPr>
      </w:pPr>
    </w:p>
    <w:p w14:paraId="24FD2639" w14:textId="77777777" w:rsidR="00DF2A83" w:rsidRDefault="00DF2A83" w:rsidP="005A0744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EB0225D" w14:textId="77777777" w:rsidR="00DF2A83" w:rsidRDefault="00DF2A83" w:rsidP="005A0744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E95D6FC" w14:textId="77777777" w:rsidR="005A0744" w:rsidRDefault="005A0744" w:rsidP="005A0744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  <w:u w:val="single"/>
        </w:rPr>
        <w:lastRenderedPageBreak/>
        <w:t>PROGRAMA</w:t>
      </w:r>
    </w:p>
    <w:p w14:paraId="05656B6D" w14:textId="77777777" w:rsidR="005A0744" w:rsidRDefault="005A0744" w:rsidP="005A0744">
      <w:pPr>
        <w:jc w:val="both"/>
        <w:rPr>
          <w:rFonts w:cstheme="minorHAnsi"/>
          <w:sz w:val="24"/>
          <w:szCs w:val="24"/>
        </w:rPr>
      </w:pPr>
      <w:r w:rsidRPr="004D7BCD">
        <w:rPr>
          <w:rFonts w:cstheme="minorHAnsi"/>
          <w:b/>
          <w:bCs/>
          <w:sz w:val="24"/>
          <w:szCs w:val="24"/>
        </w:rPr>
        <w:t>18,00h – Presentación de la Mesa y las ponentes</w:t>
      </w:r>
      <w:r w:rsidRPr="004D7BCD">
        <w:rPr>
          <w:rFonts w:cstheme="minorHAnsi"/>
          <w:sz w:val="24"/>
          <w:szCs w:val="24"/>
        </w:rPr>
        <w:t xml:space="preserve">. </w:t>
      </w:r>
    </w:p>
    <w:p w14:paraId="1ED6DB0A" w14:textId="77777777" w:rsidR="005A0744" w:rsidRDefault="005A0744" w:rsidP="005A074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Leonor González Menorca y Sonia Pereyra Gallo</w:t>
      </w:r>
    </w:p>
    <w:p w14:paraId="339DC914" w14:textId="77777777" w:rsidR="005A0744" w:rsidRDefault="005A0744" w:rsidP="005A074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Profesoras del Departamento de Economía y Empresa</w:t>
      </w:r>
    </w:p>
    <w:p w14:paraId="4737D1D1" w14:textId="77777777" w:rsidR="005A0744" w:rsidRPr="00C259B6" w:rsidRDefault="005A0744" w:rsidP="005A074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Universidad de La Rioja</w:t>
      </w:r>
    </w:p>
    <w:p w14:paraId="437918B1" w14:textId="77777777" w:rsidR="005A0744" w:rsidRPr="004D7BCD" w:rsidRDefault="005A0744" w:rsidP="005A0744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4D7BCD">
        <w:rPr>
          <w:rFonts w:cstheme="minorHAnsi"/>
          <w:b/>
          <w:bCs/>
          <w:sz w:val="24"/>
          <w:szCs w:val="24"/>
          <w:shd w:val="clear" w:color="auto" w:fill="FFFFFF"/>
        </w:rPr>
        <w:t>Ekoeki. Empresa de inserción sociolaboral para jóvenes</w:t>
      </w:r>
      <w:r w:rsidRPr="004D7BCD">
        <w:rPr>
          <w:rFonts w:cstheme="minorHAnsi"/>
          <w:sz w:val="24"/>
          <w:szCs w:val="24"/>
          <w:shd w:val="clear" w:color="auto" w:fill="FFFFFF"/>
        </w:rPr>
        <w:t xml:space="preserve">. A cargo del Equipo Educativo del Área Sociolaboral para jóvenes de </w:t>
      </w:r>
      <w:r>
        <w:rPr>
          <w:rFonts w:cstheme="minorHAnsi"/>
          <w:sz w:val="24"/>
          <w:szCs w:val="24"/>
          <w:shd w:val="clear" w:color="auto" w:fill="FFFFFF"/>
        </w:rPr>
        <w:t xml:space="preserve">la </w:t>
      </w:r>
      <w:r w:rsidRPr="004D7BCD">
        <w:rPr>
          <w:rFonts w:cstheme="minorHAnsi"/>
          <w:sz w:val="24"/>
          <w:szCs w:val="24"/>
          <w:shd w:val="clear" w:color="auto" w:fill="FFFFFF"/>
        </w:rPr>
        <w:t>Fundación Pioneros</w:t>
      </w:r>
      <w:r>
        <w:rPr>
          <w:rFonts w:cstheme="minorHAnsi"/>
          <w:sz w:val="24"/>
          <w:szCs w:val="24"/>
          <w:shd w:val="clear" w:color="auto" w:fill="FFFFFF"/>
        </w:rPr>
        <w:t xml:space="preserve"> en La Rioja.</w:t>
      </w:r>
    </w:p>
    <w:p w14:paraId="17B50902" w14:textId="77777777" w:rsidR="005A0744" w:rsidRPr="00A23713" w:rsidRDefault="005A0744" w:rsidP="005A0744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  <w:shd w:val="clear" w:color="auto" w:fill="FFFFFF"/>
          <w:lang w:val="en-US"/>
        </w:rPr>
      </w:pPr>
      <w:r w:rsidRPr="004D7BCD">
        <w:rPr>
          <w:rFonts w:eastAsia="Times New Roman" w:cstheme="minorHAnsi"/>
          <w:b/>
          <w:bCs/>
          <w:sz w:val="24"/>
          <w:szCs w:val="24"/>
          <w:lang w:eastAsia="es-ES"/>
        </w:rPr>
        <w:t>La Agenda 2030 en la dinamización del medio rural: La experiencia de los ODS Rural Labs</w:t>
      </w:r>
      <w:r w:rsidRPr="004D7BCD">
        <w:rPr>
          <w:rFonts w:eastAsia="Times New Roman" w:cstheme="minorHAnsi"/>
          <w:sz w:val="24"/>
          <w:szCs w:val="24"/>
          <w:lang w:eastAsia="es-ES"/>
        </w:rPr>
        <w:t xml:space="preserve">. A cargo de la </w:t>
      </w:r>
      <w:r w:rsidRPr="00A71387">
        <w:rPr>
          <w:rFonts w:eastAsia="Times New Roman" w:cstheme="minorHAnsi"/>
          <w:sz w:val="24"/>
          <w:szCs w:val="24"/>
          <w:lang w:eastAsia="es-ES"/>
        </w:rPr>
        <w:t>Dra. Patricia Eugenia Almaguer Kalixto</w:t>
      </w:r>
      <w:r w:rsidRPr="004D7BCD">
        <w:rPr>
          <w:rFonts w:eastAsia="Times New Roman" w:cstheme="minorHAnsi"/>
          <w:sz w:val="24"/>
          <w:szCs w:val="24"/>
          <w:lang w:eastAsia="es-ES"/>
        </w:rPr>
        <w:t>. Facultad de Ciencias Sociales y del Trabajo, </w:t>
      </w:r>
      <w:r w:rsidRPr="00D73F26">
        <w:rPr>
          <w:rFonts w:eastAsia="Times New Roman" w:cstheme="minorHAnsi"/>
          <w:sz w:val="24"/>
          <w:szCs w:val="24"/>
          <w:lang w:eastAsia="es-ES"/>
        </w:rPr>
        <w:t>Universidad de Zaragoza (UNIZAR)</w:t>
      </w:r>
      <w:r w:rsidRPr="004D7BCD">
        <w:rPr>
          <w:rFonts w:eastAsia="Times New Roman" w:cstheme="minorHAnsi"/>
          <w:sz w:val="24"/>
          <w:szCs w:val="24"/>
          <w:lang w:eastAsia="es-ES"/>
        </w:rPr>
        <w:t xml:space="preserve">. </w:t>
      </w:r>
      <w:r w:rsidRPr="00A23713">
        <w:rPr>
          <w:rFonts w:cstheme="minorHAnsi"/>
          <w:sz w:val="24"/>
          <w:szCs w:val="24"/>
          <w:shd w:val="clear" w:color="auto" w:fill="FFFFFF"/>
          <w:lang w:val="en-US"/>
        </w:rPr>
        <w:t>President of the Research Committee on Sociocybernetics. Coord. ODS Rural Labs de UNIZAR</w:t>
      </w:r>
    </w:p>
    <w:p w14:paraId="172748E0" w14:textId="77777777" w:rsidR="005A0744" w:rsidRPr="004D7BCD" w:rsidRDefault="005A0744" w:rsidP="005A0744">
      <w:pPr>
        <w:jc w:val="both"/>
        <w:rPr>
          <w:rFonts w:eastAsia="Times New Roman" w:cstheme="minorHAnsi"/>
          <w:sz w:val="24"/>
          <w:szCs w:val="24"/>
          <w:lang w:eastAsia="es-ES"/>
        </w:rPr>
      </w:pPr>
      <w:r w:rsidRPr="004D7BCD">
        <w:rPr>
          <w:rFonts w:eastAsia="Times New Roman" w:cstheme="minorHAnsi"/>
          <w:b/>
          <w:bCs/>
          <w:sz w:val="24"/>
          <w:szCs w:val="24"/>
          <w:lang w:eastAsia="es-ES"/>
        </w:rPr>
        <w:t>Reproducir, producir, desposeer y recuperar. Claves de comprensión desde la economía popular a las experiencias asociativas vinculadas a la recuperación de residuos en Argentina.</w:t>
      </w:r>
      <w:r w:rsidRPr="004D7BCD">
        <w:rPr>
          <w:rFonts w:eastAsia="Times New Roman" w:cstheme="minorHAnsi"/>
          <w:sz w:val="24"/>
          <w:szCs w:val="24"/>
          <w:lang w:eastAsia="es-ES"/>
        </w:rPr>
        <w:t xml:space="preserve"> A cargo de la Dra. </w:t>
      </w:r>
      <w:r w:rsidRPr="00B058E6">
        <w:rPr>
          <w:rFonts w:eastAsia="Times New Roman" w:cstheme="minorHAnsi"/>
          <w:sz w:val="24"/>
          <w:szCs w:val="24"/>
          <w:lang w:eastAsia="es-ES"/>
        </w:rPr>
        <w:t>en Comunicación Social</w:t>
      </w:r>
      <w:r w:rsidRPr="004D7BC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B058E6">
        <w:rPr>
          <w:rFonts w:eastAsia="Times New Roman" w:cstheme="minorHAnsi"/>
          <w:sz w:val="24"/>
          <w:szCs w:val="24"/>
          <w:lang w:eastAsia="es-ES"/>
        </w:rPr>
        <w:t>Claudia Kenbel, Investigadora del Instituto de Investigaciones Sociales, Territoriales y Educativas (ISTE)</w:t>
      </w:r>
      <w:r w:rsidRPr="004D7BCD">
        <w:rPr>
          <w:rFonts w:eastAsia="Times New Roman" w:cstheme="minorHAnsi"/>
          <w:sz w:val="24"/>
          <w:szCs w:val="24"/>
          <w:lang w:eastAsia="es-ES"/>
        </w:rPr>
        <w:t xml:space="preserve"> del CONICET</w:t>
      </w:r>
      <w:r>
        <w:rPr>
          <w:rFonts w:eastAsia="Times New Roman" w:cstheme="minorHAnsi"/>
          <w:sz w:val="24"/>
          <w:szCs w:val="24"/>
          <w:lang w:eastAsia="es-ES"/>
        </w:rPr>
        <w:t xml:space="preserve">, Argentina. </w:t>
      </w:r>
    </w:p>
    <w:p w14:paraId="59238739" w14:textId="77777777" w:rsidR="005A0744" w:rsidRDefault="005A0744" w:rsidP="005A0744">
      <w:pPr>
        <w:jc w:val="both"/>
        <w:rPr>
          <w:rFonts w:eastAsia="Times New Roman" w:cstheme="minorHAnsi"/>
          <w:sz w:val="24"/>
          <w:szCs w:val="24"/>
          <w:lang w:eastAsia="es-ES"/>
        </w:rPr>
      </w:pPr>
      <w:r w:rsidRPr="004D7BCD">
        <w:rPr>
          <w:rFonts w:eastAsia="Times New Roman" w:cstheme="minorHAnsi"/>
          <w:b/>
          <w:bCs/>
          <w:sz w:val="24"/>
          <w:szCs w:val="24"/>
          <w:lang w:eastAsia="es-ES"/>
        </w:rPr>
        <w:t>Economía Popular y feminista. Las tramas del trabajo socio comunitario en comedores y merenderos en la ciudad de Córdoba, Argentina.</w:t>
      </w:r>
      <w:r w:rsidRPr="004D7BCD">
        <w:rPr>
          <w:rFonts w:eastAsia="Times New Roman" w:cstheme="minorHAnsi"/>
          <w:sz w:val="24"/>
          <w:szCs w:val="24"/>
          <w:lang w:eastAsia="es-ES"/>
        </w:rPr>
        <w:t xml:space="preserve"> A cargo de </w:t>
      </w:r>
      <w:r w:rsidRPr="00F21938">
        <w:rPr>
          <w:rFonts w:eastAsia="Times New Roman" w:cstheme="minorHAnsi"/>
          <w:sz w:val="24"/>
          <w:szCs w:val="24"/>
          <w:lang w:eastAsia="es-ES"/>
        </w:rPr>
        <w:t xml:space="preserve">Karina Tomatis, Licenciada en Economía por la Universidad Nacional de Río Cuarto, maestranda en Ciencias Sociales con mención en políticas sociales de la Facultad de Ciencias Sociales de la UNC. </w:t>
      </w:r>
      <w:r>
        <w:rPr>
          <w:rFonts w:eastAsia="Times New Roman" w:cstheme="minorHAnsi"/>
          <w:sz w:val="24"/>
          <w:szCs w:val="24"/>
          <w:lang w:eastAsia="es-ES"/>
        </w:rPr>
        <w:t>D</w:t>
      </w:r>
      <w:r w:rsidRPr="00F21938">
        <w:rPr>
          <w:rFonts w:eastAsia="Times New Roman" w:cstheme="minorHAnsi"/>
          <w:sz w:val="24"/>
          <w:szCs w:val="24"/>
          <w:lang w:eastAsia="es-ES"/>
        </w:rPr>
        <w:t xml:space="preserve">ocente </w:t>
      </w:r>
      <w:r>
        <w:rPr>
          <w:rFonts w:eastAsia="Times New Roman" w:cstheme="minorHAnsi"/>
          <w:sz w:val="24"/>
          <w:szCs w:val="24"/>
          <w:lang w:eastAsia="es-ES"/>
        </w:rPr>
        <w:t xml:space="preserve">e Investigadora </w:t>
      </w:r>
      <w:r w:rsidRPr="00F21938">
        <w:rPr>
          <w:rFonts w:eastAsia="Times New Roman" w:cstheme="minorHAnsi"/>
          <w:sz w:val="24"/>
          <w:szCs w:val="24"/>
          <w:lang w:eastAsia="es-ES"/>
        </w:rPr>
        <w:t xml:space="preserve">en </w:t>
      </w:r>
      <w:r w:rsidRPr="004D7BCD">
        <w:rPr>
          <w:rFonts w:eastAsia="Times New Roman" w:cstheme="minorHAnsi"/>
          <w:sz w:val="24"/>
          <w:szCs w:val="24"/>
          <w:lang w:eastAsia="es-ES"/>
        </w:rPr>
        <w:t xml:space="preserve">dicha Universidad. </w:t>
      </w:r>
      <w:r>
        <w:rPr>
          <w:rFonts w:eastAsia="Times New Roman" w:cstheme="minorHAnsi"/>
          <w:sz w:val="24"/>
          <w:szCs w:val="24"/>
          <w:lang w:eastAsia="es-ES"/>
        </w:rPr>
        <w:t xml:space="preserve">Miembro del </w:t>
      </w:r>
      <w:r w:rsidRPr="00D71231">
        <w:rPr>
          <w:rFonts w:eastAsia="Times New Roman" w:cstheme="minorHAnsi"/>
          <w:sz w:val="24"/>
          <w:szCs w:val="24"/>
          <w:lang w:eastAsia="es-ES"/>
        </w:rPr>
        <w:t>Consejo Consultivo del Instituto Nacional de Asociativismo y Economía Social (INAES), Ministerio de Desarrollo Productivo de la Nación.</w:t>
      </w:r>
    </w:p>
    <w:p w14:paraId="43078B58" w14:textId="77777777" w:rsidR="005A0744" w:rsidRPr="00B058E6" w:rsidRDefault="005A0744" w:rsidP="005A0744">
      <w:pPr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D71231">
        <w:rPr>
          <w:rFonts w:eastAsia="Times New Roman" w:cstheme="minorHAnsi"/>
          <w:b/>
          <w:bCs/>
          <w:sz w:val="24"/>
          <w:szCs w:val="24"/>
          <w:lang w:eastAsia="es-ES"/>
        </w:rPr>
        <w:t>Debate</w:t>
      </w:r>
    </w:p>
    <w:p w14:paraId="13798F8E" w14:textId="77777777" w:rsidR="005A0744" w:rsidRPr="004D7BCD" w:rsidRDefault="005A0744" w:rsidP="005A0744">
      <w:pPr>
        <w:jc w:val="both"/>
        <w:rPr>
          <w:sz w:val="24"/>
          <w:szCs w:val="24"/>
        </w:rPr>
      </w:pPr>
    </w:p>
    <w:p w14:paraId="1943C0D9" w14:textId="62AE8E33" w:rsidR="00AC20AB" w:rsidRPr="00AC20AB" w:rsidRDefault="00AC20AB" w:rsidP="005A07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lang w:eastAsia="es-ES"/>
        </w:rPr>
      </w:pPr>
    </w:p>
    <w:sectPr w:rsidR="00AC20AB" w:rsidRPr="00AC2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CD"/>
    <w:rsid w:val="000178E0"/>
    <w:rsid w:val="00105A4D"/>
    <w:rsid w:val="001E03D0"/>
    <w:rsid w:val="002602B4"/>
    <w:rsid w:val="002D4316"/>
    <w:rsid w:val="00366A39"/>
    <w:rsid w:val="00386B47"/>
    <w:rsid w:val="004D7BCD"/>
    <w:rsid w:val="005A0744"/>
    <w:rsid w:val="0088533A"/>
    <w:rsid w:val="0091344B"/>
    <w:rsid w:val="00A23713"/>
    <w:rsid w:val="00A965D7"/>
    <w:rsid w:val="00AC20AB"/>
    <w:rsid w:val="00D71231"/>
    <w:rsid w:val="00D830E0"/>
    <w:rsid w:val="00DF2A83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780B"/>
  <w15:chartTrackingRefBased/>
  <w15:docId w15:val="{91EB66CB-A884-423A-BA57-4A4482A5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B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7BC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markedcontent">
    <w:name w:val="markedcontent"/>
    <w:basedOn w:val="Fuentedeprrafopredeter"/>
    <w:rsid w:val="004D7BCD"/>
  </w:style>
  <w:style w:type="paragraph" w:styleId="NormalWeb">
    <w:name w:val="Normal (Web)"/>
    <w:basedOn w:val="Normal"/>
    <w:uiPriority w:val="99"/>
    <w:semiHidden/>
    <w:unhideWhenUsed/>
    <w:rsid w:val="0036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3260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Pereyra</dc:creator>
  <cp:keywords/>
  <dc:description/>
  <cp:lastModifiedBy>Sergio Martínez De San Vicente Cubero</cp:lastModifiedBy>
  <cp:revision>3</cp:revision>
  <dcterms:created xsi:type="dcterms:W3CDTF">2021-10-25T09:58:00Z</dcterms:created>
  <dcterms:modified xsi:type="dcterms:W3CDTF">2021-10-25T09:58:00Z</dcterms:modified>
</cp:coreProperties>
</file>